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 w:cs="黑体"/>
          <w:sz w:val="32"/>
          <w:szCs w:val="40"/>
          <w:lang w:val="en-US" w:eastAsia="zh-CN"/>
        </w:rPr>
      </w:pPr>
      <w:r>
        <w:rPr>
          <w:rFonts w:hint="eastAsia" w:ascii="黑体" w:hAnsi="黑体" w:eastAsia="黑体" w:cs="黑体"/>
          <w:sz w:val="32"/>
          <w:szCs w:val="40"/>
          <w:lang w:eastAsia="zh-CN"/>
        </w:rPr>
        <w:t>《</w:t>
      </w:r>
      <w:r>
        <w:rPr>
          <w:rFonts w:hint="eastAsia" w:ascii="黑体" w:hAnsi="黑体" w:eastAsia="黑体" w:cs="黑体"/>
          <w:sz w:val="32"/>
          <w:szCs w:val="40"/>
          <w:lang w:val="en-US" w:eastAsia="zh-CN"/>
        </w:rPr>
        <w:t>临床儿科杂志</w:t>
      </w:r>
      <w:r>
        <w:rPr>
          <w:rFonts w:hint="eastAsia" w:ascii="黑体" w:hAnsi="黑体" w:eastAsia="黑体" w:cs="黑体"/>
          <w:sz w:val="32"/>
          <w:szCs w:val="40"/>
          <w:lang w:eastAsia="zh-CN"/>
        </w:rPr>
        <w:t>》</w:t>
      </w:r>
      <w:r>
        <w:rPr>
          <w:rFonts w:hint="eastAsia" w:ascii="黑体" w:hAnsi="黑体" w:eastAsia="黑体" w:cs="黑体"/>
          <w:sz w:val="32"/>
          <w:szCs w:val="40"/>
          <w:lang w:val="en-US" w:eastAsia="zh-CN"/>
        </w:rPr>
        <w:t>罕见病病例报告发表清单核对表</w:t>
      </w:r>
    </w:p>
    <w:p>
      <w:pPr>
        <w:jc w:val="center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（请一一打钩确认，如有缺如，请在正文中说明）</w:t>
      </w:r>
    </w:p>
    <w:tbl>
      <w:tblPr>
        <w:tblStyle w:val="3"/>
        <w:tblW w:w="5202" w:type="pct"/>
        <w:tblInd w:w="0" w:type="dxa"/>
        <w:tblBorders>
          <w:top w:val="single" w:color="5B9BD5" w:sz="8" w:space="0"/>
          <w:left w:val="none" w:color="auto" w:sz="0" w:space="0"/>
          <w:bottom w:val="single" w:color="5B9BD5" w:sz="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87"/>
        <w:gridCol w:w="912"/>
        <w:gridCol w:w="6385"/>
        <w:gridCol w:w="917"/>
      </w:tblGrid>
      <w:tr>
        <w:tblPrEx>
          <w:tblBorders>
            <w:top w:val="single" w:color="5B9BD5" w:sz="8" w:space="0"/>
            <w:left w:val="none" w:color="auto" w:sz="0" w:space="0"/>
            <w:bottom w:val="single" w:color="5B9BD5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80" w:type="pct"/>
            <w:tcBorders>
              <w:left w:val="nil"/>
              <w:right w:val="nil"/>
            </w:tcBorders>
            <w:shd w:val="clear" w:color="auto" w:fill="D6E6F4"/>
            <w:noWrap w:val="0"/>
            <w:vAlign w:val="top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/>
                <w:b/>
                <w:bCs/>
                <w:kern w:val="0"/>
                <w:szCs w:val="21"/>
              </w:rPr>
              <w:t>编号</w:t>
            </w:r>
          </w:p>
        </w:tc>
        <w:tc>
          <w:tcPr>
            <w:tcW w:w="524" w:type="pct"/>
            <w:tcBorders>
              <w:left w:val="nil"/>
              <w:right w:val="nil"/>
            </w:tcBorders>
            <w:shd w:val="clear" w:color="auto" w:fill="D6E6F4"/>
            <w:noWrap w:val="0"/>
            <w:vAlign w:val="top"/>
          </w:tcPr>
          <w:p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0"/>
                <w:szCs w:val="20"/>
              </w:rPr>
              <w:t>项目</w:t>
            </w:r>
          </w:p>
        </w:tc>
        <w:tc>
          <w:tcPr>
            <w:tcW w:w="3668" w:type="pct"/>
            <w:tcBorders>
              <w:right w:val="nil"/>
            </w:tcBorders>
            <w:shd w:val="clear" w:color="auto" w:fill="D6E6F4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widowControl/>
              <w:spacing w:line="240" w:lineRule="atLeast"/>
              <w:jc w:val="center"/>
              <w:rPr>
                <w:rFonts w:ascii="Times New Roman" w:hAnsi="Times New Roman"/>
                <w:b/>
                <w:bCs/>
                <w:szCs w:val="21"/>
              </w:rPr>
            </w:pPr>
            <w:r>
              <w:rPr>
                <w:rFonts w:hint="eastAsia" w:ascii="Times New Roman" w:hAnsi="Times New Roman"/>
                <w:b/>
                <w:bCs/>
                <w:kern w:val="0"/>
                <w:szCs w:val="21"/>
                <w:lang w:val="en-US" w:eastAsia="zh-CN"/>
              </w:rPr>
              <w:t>发表</w:t>
            </w:r>
            <w:r>
              <w:rPr>
                <w:rFonts w:hint="eastAsia" w:ascii="Times New Roman" w:hAnsi="Times New Roman"/>
                <w:b/>
                <w:bCs/>
                <w:kern w:val="0"/>
                <w:szCs w:val="21"/>
              </w:rPr>
              <w:t>清单</w:t>
            </w:r>
          </w:p>
        </w:tc>
        <w:tc>
          <w:tcPr>
            <w:tcW w:w="526" w:type="pct"/>
            <w:tcBorders>
              <w:right w:val="nil"/>
            </w:tcBorders>
            <w:shd w:val="clear" w:color="auto" w:fill="D6E6F4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widowControl/>
              <w:spacing w:line="240" w:lineRule="atLeast"/>
              <w:jc w:val="center"/>
              <w:rPr>
                <w:rFonts w:hint="default" w:ascii="Times New Roman" w:hAnsi="Times New Roman"/>
                <w:b/>
                <w:bCs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b/>
                <w:bCs/>
                <w:kern w:val="0"/>
                <w:szCs w:val="21"/>
                <w:lang w:val="en-US" w:eastAsia="zh-CN"/>
              </w:rPr>
              <w:t>核对</w:t>
            </w:r>
          </w:p>
        </w:tc>
      </w:tr>
      <w:tr>
        <w:tblPrEx>
          <w:tblBorders>
            <w:top w:val="single" w:color="5B9BD5" w:sz="8" w:space="0"/>
            <w:left w:val="none" w:color="auto" w:sz="0" w:space="0"/>
            <w:bottom w:val="single" w:color="5B9BD5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9" w:hRule="atLeast"/>
        </w:trPr>
        <w:tc>
          <w:tcPr>
            <w:tcW w:w="280" w:type="pct"/>
            <w:noWrap w:val="0"/>
            <w:vAlign w:val="top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</w:t>
            </w:r>
          </w:p>
        </w:tc>
        <w:tc>
          <w:tcPr>
            <w:tcW w:w="524" w:type="pct"/>
            <w:noWrap w:val="0"/>
            <w:vAlign w:val="top"/>
          </w:tcPr>
          <w:p>
            <w:pPr>
              <w:widowControl/>
              <w:jc w:val="lef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文题</w:t>
            </w:r>
          </w:p>
        </w:tc>
        <w:tc>
          <w:tcPr>
            <w:tcW w:w="3668" w:type="pct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widowControl/>
              <w:spacing w:line="240" w:lineRule="atLeast"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1.1文题中含“病例报告”一词并应与最具特征性的词（例如，症状、诊断、治疗、干预）一起出现在标题中</w:t>
            </w:r>
          </w:p>
          <w:p>
            <w:pPr>
              <w:widowControl/>
              <w:spacing w:line="240" w:lineRule="atLeast"/>
              <w:jc w:val="left"/>
              <w:rPr>
                <w:rFonts w:ascii="Times New Roman" w:hAnsi="Times New Roman"/>
                <w:szCs w:val="21"/>
                <w:highlight w:val="magenta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1.2文题中含罕见病名称和/或基因名称</w:t>
            </w:r>
          </w:p>
        </w:tc>
        <w:tc>
          <w:tcPr>
            <w:tcW w:w="526" w:type="pct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widowControl/>
              <w:spacing w:line="240" w:lineRule="atLeas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sym w:font="Wingdings 2" w:char="00A3"/>
            </w:r>
          </w:p>
          <w:p>
            <w:pPr>
              <w:widowControl/>
              <w:spacing w:line="240" w:lineRule="atLeas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  <w:p>
            <w:pPr>
              <w:widowControl/>
              <w:spacing w:line="240" w:lineRule="atLeas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sym w:font="Wingdings 2" w:char="00A3"/>
            </w:r>
          </w:p>
        </w:tc>
      </w:tr>
      <w:tr>
        <w:tblPrEx>
          <w:tblBorders>
            <w:top w:val="single" w:color="5B9BD5" w:sz="8" w:space="0"/>
            <w:left w:val="none" w:color="auto" w:sz="0" w:space="0"/>
            <w:bottom w:val="single" w:color="5B9BD5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80" w:type="pct"/>
            <w:tcBorders>
              <w:left w:val="nil"/>
              <w:right w:val="nil"/>
            </w:tcBorders>
            <w:shd w:val="clear" w:color="auto" w:fill="D6E6F4"/>
            <w:noWrap w:val="0"/>
            <w:vAlign w:val="top"/>
          </w:tcPr>
          <w:p>
            <w:pPr>
              <w:widowControl/>
              <w:jc w:val="left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/>
                <w:kern w:val="0"/>
                <w:szCs w:val="21"/>
              </w:rPr>
              <w:t>2</w:t>
            </w:r>
          </w:p>
        </w:tc>
        <w:tc>
          <w:tcPr>
            <w:tcW w:w="524" w:type="pct"/>
            <w:tcBorders>
              <w:left w:val="nil"/>
              <w:right w:val="nil"/>
            </w:tcBorders>
            <w:shd w:val="clear" w:color="auto" w:fill="D6E6F4"/>
            <w:noWrap w:val="0"/>
            <w:vAlign w:val="top"/>
          </w:tcPr>
          <w:p>
            <w:pPr>
              <w:widowControl/>
              <w:jc w:val="lef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0"/>
                <w:szCs w:val="20"/>
              </w:rPr>
              <w:t>摘要</w:t>
            </w:r>
          </w:p>
        </w:tc>
        <w:tc>
          <w:tcPr>
            <w:tcW w:w="3668" w:type="pct"/>
            <w:tcBorders>
              <w:right w:val="nil"/>
            </w:tcBorders>
            <w:shd w:val="clear" w:color="auto" w:fill="D6E6F4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widowControl/>
              <w:spacing w:line="240" w:lineRule="atLeast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按引言、病例资料、结论的三要素格式</w:t>
            </w:r>
          </w:p>
          <w:p>
            <w:pPr>
              <w:widowControl/>
              <w:spacing w:line="240" w:lineRule="atLeast"/>
              <w:ind w:firstLine="180" w:firstLineChars="100"/>
              <w:jc w:val="lef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a) 引言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——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介绍该病例及临床特征</w:t>
            </w:r>
          </w:p>
          <w:p>
            <w:pPr>
              <w:widowControl/>
              <w:spacing w:line="240" w:lineRule="atLeast"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 xml:space="preserve">  b) 病例介绍：</w:t>
            </w:r>
          </w:p>
          <w:p>
            <w:pPr>
              <w:widowControl/>
              <w:spacing w:line="240" w:lineRule="atLeast"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 xml:space="preserve">  – 主要症状</w:t>
            </w:r>
          </w:p>
          <w:p>
            <w:pPr>
              <w:widowControl/>
              <w:spacing w:line="240" w:lineRule="atLeast"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 xml:space="preserve">  – 主要临床发现</w:t>
            </w:r>
          </w:p>
          <w:p>
            <w:pPr>
              <w:widowControl/>
              <w:spacing w:line="240" w:lineRule="atLeast"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 xml:space="preserve">  – 主要诊断和干预措施</w:t>
            </w:r>
          </w:p>
          <w:p>
            <w:pPr>
              <w:widowControl/>
              <w:spacing w:line="240" w:lineRule="atLeast"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 xml:space="preserve">  – 主要转归</w:t>
            </w:r>
          </w:p>
          <w:p>
            <w:pPr>
              <w:widowControl/>
              <w:spacing w:line="240" w:lineRule="atLeast"/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 xml:space="preserve">   c) 结论——从这个病例中得出的主要经验教训</w:t>
            </w:r>
          </w:p>
        </w:tc>
        <w:tc>
          <w:tcPr>
            <w:tcW w:w="526" w:type="pct"/>
            <w:tcBorders>
              <w:right w:val="nil"/>
            </w:tcBorders>
            <w:shd w:val="clear" w:color="auto" w:fill="D6E6F4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widowControl/>
              <w:spacing w:line="240" w:lineRule="atLeas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sym w:font="Wingdings 2" w:char="00A3"/>
            </w:r>
          </w:p>
          <w:p>
            <w:pPr>
              <w:widowControl/>
              <w:spacing w:line="240" w:lineRule="atLeas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  <w:p>
            <w:pPr>
              <w:widowControl/>
              <w:spacing w:line="240" w:lineRule="atLeast"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5B9BD5" w:sz="8" w:space="0"/>
            <w:left w:val="none" w:color="auto" w:sz="0" w:space="0"/>
            <w:bottom w:val="single" w:color="5B9BD5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80" w:type="pct"/>
            <w:noWrap w:val="0"/>
            <w:vAlign w:val="top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/>
                <w:szCs w:val="21"/>
              </w:rPr>
              <w:t>3</w:t>
            </w:r>
          </w:p>
        </w:tc>
        <w:tc>
          <w:tcPr>
            <w:tcW w:w="524" w:type="pct"/>
            <w:noWrap w:val="0"/>
            <w:vAlign w:val="top"/>
          </w:tcPr>
          <w:p>
            <w:pPr>
              <w:widowControl/>
              <w:jc w:val="lef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0"/>
                <w:szCs w:val="20"/>
              </w:rPr>
              <w:t>关键词</w:t>
            </w:r>
          </w:p>
        </w:tc>
        <w:tc>
          <w:tcPr>
            <w:tcW w:w="3668" w:type="pct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widowControl/>
              <w:spacing w:line="240" w:lineRule="atLeast"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关键词2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~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5个</w:t>
            </w:r>
          </w:p>
          <w:p>
            <w:pPr>
              <w:widowControl/>
              <w:spacing w:line="240" w:lineRule="atLeast"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a)关键词中注明罕见病名称和/或基因名称</w:t>
            </w:r>
          </w:p>
          <w:p>
            <w:pPr>
              <w:widowControl/>
              <w:spacing w:line="240" w:lineRule="atLeast"/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b)关键词中注明“患者年龄特征”（如新生儿、儿童、青少年、成人、老年人等）</w:t>
            </w:r>
          </w:p>
        </w:tc>
        <w:tc>
          <w:tcPr>
            <w:tcW w:w="526" w:type="pct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widowControl/>
              <w:spacing w:line="240" w:lineRule="atLeas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sym w:font="Wingdings 2" w:char="00A3"/>
            </w:r>
          </w:p>
          <w:p>
            <w:pPr>
              <w:widowControl/>
              <w:spacing w:line="240" w:lineRule="atLeas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  <w:p>
            <w:pPr>
              <w:widowControl/>
              <w:spacing w:line="240" w:lineRule="atLeast"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5B9BD5" w:sz="8" w:space="0"/>
            <w:left w:val="none" w:color="auto" w:sz="0" w:space="0"/>
            <w:bottom w:val="single" w:color="5B9BD5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80" w:type="pct"/>
            <w:noWrap w:val="0"/>
            <w:vAlign w:val="top"/>
          </w:tcPr>
          <w:p>
            <w:pPr>
              <w:widowControl/>
              <w:jc w:val="left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/>
                <w:szCs w:val="21"/>
              </w:rPr>
              <w:t>4</w:t>
            </w:r>
          </w:p>
        </w:tc>
        <w:tc>
          <w:tcPr>
            <w:tcW w:w="524" w:type="pct"/>
            <w:noWrap w:val="0"/>
            <w:vAlign w:val="top"/>
          </w:tcPr>
          <w:p>
            <w:pPr>
              <w:widowControl/>
              <w:jc w:val="lef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hint="eastAsia" w:ascii="Times New Roman" w:hAnsi="Times New Roman"/>
                <w:b/>
                <w:bCs/>
                <w:kern w:val="0"/>
                <w:sz w:val="20"/>
                <w:szCs w:val="20"/>
              </w:rPr>
              <w:t>引</w:t>
            </w:r>
            <w:r>
              <w:rPr>
                <w:rFonts w:ascii="Times New Roman" w:hAnsi="Times New Roman"/>
                <w:b/>
                <w:bCs/>
                <w:kern w:val="0"/>
                <w:sz w:val="20"/>
                <w:szCs w:val="20"/>
              </w:rPr>
              <w:t>言</w:t>
            </w:r>
          </w:p>
        </w:tc>
        <w:tc>
          <w:tcPr>
            <w:tcW w:w="3668" w:type="pct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widowControl/>
              <w:spacing w:line="240" w:lineRule="atLeast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4.1引用相关文献对本病例的简要背景作一介绍</w:t>
            </w:r>
          </w:p>
          <w:p>
            <w:pPr>
              <w:widowControl/>
              <w:spacing w:line="240" w:lineRule="atLeast"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4.2引言部分交代罕见病名称和/或基因名称</w:t>
            </w:r>
          </w:p>
          <w:p>
            <w:pPr>
              <w:widowControl/>
              <w:spacing w:line="240" w:lineRule="atLeast"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4.3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 xml:space="preserve">引言部分交代罕见病“OMIM编号”（孟德尔遗传编码） </w:t>
            </w:r>
          </w:p>
          <w:p>
            <w:pPr>
              <w:widowControl/>
              <w:spacing w:line="240" w:lineRule="atLeast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4.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4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引言部分交代罕见病发病率资料（或PubMed可检索到的已发表的病例数）</w:t>
            </w:r>
          </w:p>
        </w:tc>
        <w:tc>
          <w:tcPr>
            <w:tcW w:w="526" w:type="pct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widowControl/>
              <w:spacing w:line="240" w:lineRule="atLeas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sym w:font="Wingdings 2" w:char="00A3"/>
            </w:r>
          </w:p>
          <w:p>
            <w:pPr>
              <w:widowControl/>
              <w:spacing w:line="240" w:lineRule="atLeas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sym w:font="Wingdings 2" w:char="00A3"/>
            </w:r>
          </w:p>
          <w:p>
            <w:pPr>
              <w:widowControl/>
              <w:spacing w:line="240" w:lineRule="atLeas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sym w:font="Wingdings 2" w:char="00A3"/>
            </w:r>
          </w:p>
          <w:p>
            <w:pPr>
              <w:widowControl/>
              <w:spacing w:line="240" w:lineRule="atLeas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sym w:font="Wingdings 2" w:char="00A3"/>
            </w:r>
          </w:p>
        </w:tc>
      </w:tr>
      <w:tr>
        <w:tblPrEx>
          <w:tblBorders>
            <w:top w:val="single" w:color="5B9BD5" w:sz="8" w:space="0"/>
            <w:left w:val="none" w:color="auto" w:sz="0" w:space="0"/>
            <w:bottom w:val="single" w:color="5B9BD5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21" w:hRule="atLeast"/>
        </w:trPr>
        <w:tc>
          <w:tcPr>
            <w:tcW w:w="280" w:type="pct"/>
            <w:tcBorders>
              <w:left w:val="nil"/>
              <w:right w:val="nil"/>
            </w:tcBorders>
            <w:shd w:val="clear" w:color="auto" w:fill="D6E6F4"/>
            <w:noWrap w:val="0"/>
            <w:vAlign w:val="top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/>
                <w:kern w:val="0"/>
                <w:szCs w:val="21"/>
              </w:rPr>
              <w:t>5</w:t>
            </w:r>
            <w:r>
              <w:rPr>
                <w:rFonts w:ascii="Times New Roman" w:hAnsi="Times New Roman"/>
                <w:kern w:val="0"/>
                <w:szCs w:val="21"/>
              </w:rPr>
              <w:t> </w:t>
            </w:r>
          </w:p>
        </w:tc>
        <w:tc>
          <w:tcPr>
            <w:tcW w:w="524" w:type="pct"/>
            <w:tcBorders>
              <w:left w:val="nil"/>
              <w:right w:val="nil"/>
            </w:tcBorders>
            <w:shd w:val="clear" w:color="auto" w:fill="D6E6F4"/>
            <w:noWrap w:val="0"/>
            <w:vAlign w:val="top"/>
          </w:tcPr>
          <w:p>
            <w:pPr>
              <w:widowControl/>
              <w:jc w:val="lef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0"/>
                <w:szCs w:val="20"/>
              </w:rPr>
              <w:t>患者基本信息</w:t>
            </w:r>
          </w:p>
        </w:tc>
        <w:tc>
          <w:tcPr>
            <w:tcW w:w="3668" w:type="pct"/>
            <w:tcBorders>
              <w:right w:val="nil"/>
            </w:tcBorders>
            <w:shd w:val="clear" w:color="auto" w:fill="D6E6F4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spacing w:line="240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5.1</w:t>
            </w:r>
            <w:r>
              <w:rPr>
                <w:rFonts w:ascii="Times New Roman" w:hAnsi="Times New Roman"/>
                <w:sz w:val="18"/>
                <w:szCs w:val="18"/>
              </w:rPr>
              <w:t>人口统计信息（如年龄、性别、种族）</w:t>
            </w:r>
          </w:p>
          <w:p>
            <w:pPr>
              <w:spacing w:line="240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5.2</w:t>
            </w:r>
            <w:r>
              <w:rPr>
                <w:rFonts w:ascii="Times New Roman" w:hAnsi="Times New Roman"/>
                <w:sz w:val="18"/>
                <w:szCs w:val="18"/>
              </w:rPr>
              <w:t>患者的主要症状</w:t>
            </w:r>
            <w:r>
              <w:rPr>
                <w:rFonts w:hint="eastAsia" w:ascii="Times New Roman" w:hAnsi="Times New Roman"/>
                <w:sz w:val="18"/>
                <w:szCs w:val="18"/>
              </w:rPr>
              <w:t xml:space="preserve">，包括“首发症状” </w:t>
            </w:r>
          </w:p>
          <w:p>
            <w:pPr>
              <w:spacing w:line="240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5.3</w:t>
            </w:r>
            <w:r>
              <w:rPr>
                <w:rFonts w:ascii="Times New Roman" w:hAnsi="Times New Roman"/>
                <w:sz w:val="18"/>
                <w:szCs w:val="18"/>
              </w:rPr>
              <w:t>医疗、家庭和社会心理史——包括饮食、生活方式和遗传信息，以及有关相关合并症的详细信息</w:t>
            </w:r>
          </w:p>
          <w:p>
            <w:pPr>
              <w:spacing w:line="240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5.4本次入院前</w:t>
            </w:r>
            <w:r>
              <w:rPr>
                <w:rFonts w:ascii="Times New Roman" w:hAnsi="Times New Roman"/>
                <w:sz w:val="18"/>
                <w:szCs w:val="18"/>
              </w:rPr>
              <w:t>的干预措施及其</w:t>
            </w:r>
            <w:r>
              <w:rPr>
                <w:rFonts w:hint="eastAsia" w:ascii="Times New Roman" w:hAnsi="Times New Roman"/>
                <w:sz w:val="18"/>
                <w:szCs w:val="18"/>
              </w:rPr>
              <w:t>转归，如外院/本院治疗失败史</w:t>
            </w:r>
          </w:p>
        </w:tc>
        <w:tc>
          <w:tcPr>
            <w:tcW w:w="526" w:type="pct"/>
            <w:tcBorders>
              <w:right w:val="nil"/>
            </w:tcBorders>
            <w:shd w:val="clear" w:color="auto" w:fill="D6E6F4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widowControl/>
              <w:spacing w:line="240" w:lineRule="atLeas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sym w:font="Wingdings 2" w:char="00A3"/>
            </w:r>
          </w:p>
          <w:p>
            <w:pPr>
              <w:widowControl/>
              <w:spacing w:line="240" w:lineRule="atLeas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sym w:font="Wingdings 2" w:char="00A3"/>
            </w:r>
          </w:p>
          <w:p>
            <w:pPr>
              <w:widowControl/>
              <w:spacing w:line="240" w:lineRule="atLeas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sym w:font="Wingdings 2" w:char="00A3"/>
            </w:r>
          </w:p>
          <w:p>
            <w:pPr>
              <w:spacing w:line="240" w:lineRule="atLeast"/>
              <w:rPr>
                <w:rFonts w:hint="eastAsia" w:ascii="Times New Roman" w:hAnsi="Times New Roman"/>
                <w:sz w:val="18"/>
                <w:szCs w:val="18"/>
              </w:rPr>
            </w:pPr>
          </w:p>
          <w:p>
            <w:pPr>
              <w:widowControl/>
              <w:spacing w:line="240" w:lineRule="atLeast"/>
              <w:jc w:val="center"/>
              <w:rPr>
                <w:rFonts w:hint="eastAsia" w:ascii="Times New Roman" w:hAnsi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sym w:font="Wingdings 2" w:char="00A3"/>
            </w:r>
          </w:p>
        </w:tc>
      </w:tr>
      <w:tr>
        <w:tblPrEx>
          <w:tblBorders>
            <w:top w:val="single" w:color="5B9BD5" w:sz="8" w:space="0"/>
            <w:left w:val="none" w:color="auto" w:sz="0" w:space="0"/>
            <w:bottom w:val="single" w:color="5B9BD5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80" w:type="pct"/>
            <w:tcBorders>
              <w:left w:val="nil"/>
              <w:right w:val="nil"/>
            </w:tcBorders>
            <w:shd w:val="clear" w:color="auto" w:fill="D6E6F4"/>
            <w:noWrap w:val="0"/>
            <w:vAlign w:val="top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/>
                <w:szCs w:val="21"/>
              </w:rPr>
              <w:t>6</w:t>
            </w:r>
          </w:p>
        </w:tc>
        <w:tc>
          <w:tcPr>
            <w:tcW w:w="524" w:type="pct"/>
            <w:tcBorders>
              <w:left w:val="nil"/>
              <w:right w:val="nil"/>
            </w:tcBorders>
            <w:shd w:val="clear" w:color="auto" w:fill="D6E6F4"/>
            <w:noWrap w:val="0"/>
            <w:vAlign w:val="top"/>
          </w:tcPr>
          <w:p>
            <w:pPr>
              <w:widowControl/>
              <w:jc w:val="lef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0"/>
                <w:szCs w:val="20"/>
              </w:rPr>
              <w:t>知情同意</w:t>
            </w:r>
            <w:bookmarkStart w:id="0" w:name="_GoBack"/>
            <w:bookmarkEnd w:id="0"/>
          </w:p>
        </w:tc>
        <w:tc>
          <w:tcPr>
            <w:tcW w:w="3668" w:type="pct"/>
            <w:tcBorders>
              <w:right w:val="nil"/>
            </w:tcBorders>
            <w:shd w:val="clear" w:color="auto" w:fill="D6E6F4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spacing w:line="240" w:lineRule="atLeast"/>
              <w:rPr>
                <w:rFonts w:hint="eastAsia"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6.1对于本病例的发表，交代是否获得患者/监护人的知情同意</w:t>
            </w:r>
          </w:p>
          <w:p>
            <w:pPr>
              <w:spacing w:line="240" w:lineRule="atLeast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6.2交代如未获</w:t>
            </w:r>
            <w:r>
              <w:rPr>
                <w:rFonts w:hint="eastAsia" w:ascii="Times New Roman" w:hAnsi="Times New Roman"/>
                <w:sz w:val="18"/>
                <w:szCs w:val="18"/>
                <w:lang w:val="en-US" w:eastAsia="zh-CN"/>
              </w:rPr>
              <w:t>/获得</w:t>
            </w:r>
            <w:r>
              <w:rPr>
                <w:rFonts w:hint="eastAsia" w:ascii="Times New Roman" w:hAnsi="Times New Roman"/>
                <w:sz w:val="18"/>
                <w:szCs w:val="18"/>
              </w:rPr>
              <w:t>知情同意下的伦理处理</w:t>
            </w:r>
          </w:p>
        </w:tc>
        <w:tc>
          <w:tcPr>
            <w:tcW w:w="526" w:type="pct"/>
            <w:tcBorders>
              <w:right w:val="nil"/>
            </w:tcBorders>
            <w:shd w:val="clear" w:color="auto" w:fill="D6E6F4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spacing w:line="240" w:lineRule="atLeas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sym w:font="Wingdings 2" w:char="00A3"/>
            </w:r>
          </w:p>
          <w:p>
            <w:pPr>
              <w:spacing w:line="240" w:lineRule="atLeas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sym w:font="Wingdings 2" w:char="00A3"/>
            </w:r>
          </w:p>
        </w:tc>
      </w:tr>
      <w:tr>
        <w:tblPrEx>
          <w:tblBorders>
            <w:top w:val="single" w:color="5B9BD5" w:sz="8" w:space="0"/>
            <w:left w:val="none" w:color="auto" w:sz="0" w:space="0"/>
            <w:bottom w:val="single" w:color="5B9BD5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80" w:type="pct"/>
            <w:noWrap w:val="0"/>
            <w:vAlign w:val="top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/>
                <w:szCs w:val="21"/>
              </w:rPr>
              <w:t>7</w:t>
            </w:r>
          </w:p>
        </w:tc>
        <w:tc>
          <w:tcPr>
            <w:tcW w:w="524" w:type="pct"/>
            <w:noWrap w:val="0"/>
            <w:vAlign w:val="top"/>
          </w:tcPr>
          <w:p>
            <w:pPr>
              <w:widowControl/>
              <w:jc w:val="lef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0"/>
                <w:szCs w:val="20"/>
              </w:rPr>
              <w:t>临床检查</w:t>
            </w:r>
          </w:p>
        </w:tc>
        <w:tc>
          <w:tcPr>
            <w:tcW w:w="3668" w:type="pct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widowControl/>
              <w:spacing w:line="240" w:lineRule="atLeast"/>
              <w:jc w:val="left"/>
              <w:rPr>
                <w:rFonts w:hint="eastAsia"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7.1描述相关的体格检查 (PE) 结果</w:t>
            </w:r>
          </w:p>
          <w:p>
            <w:pPr>
              <w:widowControl/>
              <w:tabs>
                <w:tab w:val="center" w:pos="3000"/>
              </w:tabs>
              <w:spacing w:line="240" w:lineRule="atLeast"/>
              <w:jc w:val="left"/>
              <w:rPr>
                <w:rFonts w:hint="eastAsia" w:ascii="Times New Roman" w:hAnsi="Times New Roman" w:eastAsia="宋体"/>
                <w:kern w:val="0"/>
                <w:szCs w:val="21"/>
                <w:lang w:eastAsia="zh-CN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7.2 提供特殊性的“大体病理”特征图</w:t>
            </w:r>
          </w:p>
        </w:tc>
        <w:tc>
          <w:tcPr>
            <w:tcW w:w="526" w:type="pct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widowControl/>
              <w:spacing w:line="240" w:lineRule="atLeas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sym w:font="Wingdings 2" w:char="00A3"/>
            </w:r>
          </w:p>
          <w:p>
            <w:pPr>
              <w:widowControl/>
              <w:spacing w:line="240" w:lineRule="atLeas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sym w:font="Wingdings 2" w:char="00A3"/>
            </w:r>
          </w:p>
        </w:tc>
      </w:tr>
      <w:tr>
        <w:tblPrEx>
          <w:tblBorders>
            <w:top w:val="single" w:color="5B9BD5" w:sz="8" w:space="0"/>
            <w:left w:val="none" w:color="auto" w:sz="0" w:space="0"/>
            <w:bottom w:val="single" w:color="5B9BD5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80" w:type="pct"/>
            <w:tcBorders>
              <w:left w:val="nil"/>
              <w:right w:val="nil"/>
            </w:tcBorders>
            <w:shd w:val="clear" w:color="auto" w:fill="D6E6F4"/>
            <w:noWrap w:val="0"/>
            <w:vAlign w:val="top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/>
                <w:szCs w:val="21"/>
              </w:rPr>
              <w:t>8</w:t>
            </w:r>
          </w:p>
        </w:tc>
        <w:tc>
          <w:tcPr>
            <w:tcW w:w="524" w:type="pct"/>
            <w:tcBorders>
              <w:left w:val="nil"/>
              <w:right w:val="nil"/>
            </w:tcBorders>
            <w:shd w:val="clear" w:color="auto" w:fill="D6E6F4"/>
            <w:noWrap w:val="0"/>
            <w:vAlign w:val="top"/>
          </w:tcPr>
          <w:p>
            <w:pPr>
              <w:widowControl/>
              <w:jc w:val="lef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0"/>
                <w:szCs w:val="20"/>
              </w:rPr>
              <w:t>时间轴</w:t>
            </w:r>
          </w:p>
        </w:tc>
        <w:tc>
          <w:tcPr>
            <w:tcW w:w="3668" w:type="pct"/>
            <w:tcBorders>
              <w:right w:val="nil"/>
            </w:tcBorders>
            <w:shd w:val="clear" w:color="auto" w:fill="D6E6F4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widowControl/>
              <w:spacing w:line="240" w:lineRule="atLeast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患者从首发症状到确诊、治疗干预、随访等若干时间点，以表格或图形的形式形成时间轴</w:t>
            </w:r>
          </w:p>
        </w:tc>
        <w:tc>
          <w:tcPr>
            <w:tcW w:w="526" w:type="pct"/>
            <w:tcBorders>
              <w:right w:val="nil"/>
            </w:tcBorders>
            <w:shd w:val="clear" w:color="auto" w:fill="D6E6F4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widowControl/>
              <w:spacing w:line="240" w:lineRule="atLeast"/>
              <w:jc w:val="center"/>
              <w:rPr>
                <w:rFonts w:hint="eastAsia"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sym w:font="Wingdings 2" w:char="00A3"/>
            </w:r>
          </w:p>
        </w:tc>
      </w:tr>
      <w:tr>
        <w:tblPrEx>
          <w:tblBorders>
            <w:top w:val="single" w:color="5B9BD5" w:sz="8" w:space="0"/>
            <w:left w:val="none" w:color="auto" w:sz="0" w:space="0"/>
            <w:bottom w:val="single" w:color="5B9BD5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80" w:type="pct"/>
            <w:noWrap w:val="0"/>
            <w:vAlign w:val="top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/>
                <w:szCs w:val="21"/>
              </w:rPr>
              <w:t>9</w:t>
            </w:r>
          </w:p>
        </w:tc>
        <w:tc>
          <w:tcPr>
            <w:tcW w:w="524" w:type="pct"/>
            <w:noWrap w:val="0"/>
            <w:vAlign w:val="top"/>
          </w:tcPr>
          <w:p>
            <w:pPr>
              <w:widowControl/>
              <w:jc w:val="lef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0"/>
                <w:szCs w:val="20"/>
              </w:rPr>
              <w:t>诊断</w:t>
            </w:r>
          </w:p>
        </w:tc>
        <w:tc>
          <w:tcPr>
            <w:tcW w:w="3668" w:type="pct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spacing w:line="240" w:lineRule="atLeast"/>
              <w:rPr>
                <w:rFonts w:hint="eastAsia"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9.1诊断方法（例如，PE、实验室检测、影像学、量表）</w:t>
            </w:r>
          </w:p>
          <w:p>
            <w:pPr>
              <w:spacing w:line="240" w:lineRule="atLeast"/>
              <w:rPr>
                <w:rFonts w:hint="eastAsia"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 xml:space="preserve">9.2诊断经过 </w:t>
            </w:r>
          </w:p>
          <w:p>
            <w:pPr>
              <w:spacing w:line="240" w:lineRule="atLeast"/>
              <w:rPr>
                <w:rFonts w:hint="eastAsia"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9.3影响诊断因素（如经济状况、语言/文化）</w:t>
            </w:r>
          </w:p>
          <w:p>
            <w:pPr>
              <w:spacing w:line="240" w:lineRule="atLeast"/>
              <w:rPr>
                <w:rFonts w:hint="eastAsia"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9.4诊断推理(包括考虑的其他诊断)</w:t>
            </w:r>
          </w:p>
          <w:p>
            <w:pPr>
              <w:spacing w:line="240" w:lineRule="atLeast"/>
              <w:rPr>
                <w:rFonts w:hint="eastAsia"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9.5诊断“金标准”和/或基因变异图谱、按照ACMG指南进行生物信息学分析和家系图</w:t>
            </w:r>
          </w:p>
          <w:p>
            <w:pPr>
              <w:spacing w:line="240" w:lineRule="atLeast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9.6适用的预后特征（如分期）</w:t>
            </w:r>
          </w:p>
        </w:tc>
        <w:tc>
          <w:tcPr>
            <w:tcW w:w="526" w:type="pct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widowControl/>
              <w:spacing w:line="240" w:lineRule="atLeas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sym w:font="Wingdings 2" w:char="00A3"/>
            </w:r>
          </w:p>
          <w:p>
            <w:pPr>
              <w:widowControl/>
              <w:spacing w:line="240" w:lineRule="atLeas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sym w:font="Wingdings 2" w:char="00A3"/>
            </w:r>
          </w:p>
          <w:p>
            <w:pPr>
              <w:widowControl/>
              <w:spacing w:line="240" w:lineRule="atLeas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sym w:font="Wingdings 2" w:char="00A3"/>
            </w:r>
          </w:p>
          <w:p>
            <w:pPr>
              <w:widowControl/>
              <w:spacing w:line="240" w:lineRule="atLeas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sym w:font="Wingdings 2" w:char="00A3"/>
            </w:r>
          </w:p>
          <w:p>
            <w:pPr>
              <w:widowControl/>
              <w:spacing w:line="240" w:lineRule="atLeas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sym w:font="Wingdings 2" w:char="00A3"/>
            </w:r>
          </w:p>
          <w:p>
            <w:pPr>
              <w:spacing w:line="240" w:lineRule="atLeast"/>
              <w:rPr>
                <w:rFonts w:hint="eastAsia" w:ascii="Times New Roman" w:hAnsi="Times New Roman"/>
                <w:sz w:val="18"/>
                <w:szCs w:val="18"/>
              </w:rPr>
            </w:pPr>
          </w:p>
          <w:p>
            <w:pPr>
              <w:widowControl/>
              <w:spacing w:line="240" w:lineRule="atLeast"/>
              <w:jc w:val="center"/>
              <w:rPr>
                <w:rFonts w:hint="eastAsia" w:ascii="Times New Roman" w:hAnsi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sym w:font="Wingdings 2" w:char="00A3"/>
            </w:r>
          </w:p>
        </w:tc>
      </w:tr>
      <w:tr>
        <w:tblPrEx>
          <w:tblBorders>
            <w:top w:val="single" w:color="5B9BD5" w:sz="8" w:space="0"/>
            <w:left w:val="none" w:color="auto" w:sz="0" w:space="0"/>
            <w:bottom w:val="single" w:color="5B9BD5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80" w:type="pct"/>
            <w:tcBorders>
              <w:left w:val="nil"/>
              <w:right w:val="nil"/>
            </w:tcBorders>
            <w:shd w:val="clear" w:color="auto" w:fill="D6E6F4"/>
            <w:noWrap w:val="0"/>
            <w:vAlign w:val="top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/>
                <w:kern w:val="0"/>
                <w:szCs w:val="21"/>
              </w:rPr>
              <w:t>10</w:t>
            </w:r>
          </w:p>
        </w:tc>
        <w:tc>
          <w:tcPr>
            <w:tcW w:w="524" w:type="pct"/>
            <w:tcBorders>
              <w:left w:val="nil"/>
              <w:right w:val="nil"/>
            </w:tcBorders>
            <w:shd w:val="clear" w:color="auto" w:fill="D6E6F4"/>
            <w:noWrap w:val="0"/>
            <w:vAlign w:val="top"/>
          </w:tcPr>
          <w:p>
            <w:pPr>
              <w:widowControl/>
              <w:jc w:val="lef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0"/>
                <w:szCs w:val="20"/>
              </w:rPr>
              <w:t>干预措施</w:t>
            </w:r>
          </w:p>
        </w:tc>
        <w:tc>
          <w:tcPr>
            <w:tcW w:w="3668" w:type="pct"/>
            <w:tcBorders>
              <w:right w:val="nil"/>
            </w:tcBorders>
            <w:shd w:val="clear" w:color="auto" w:fill="D6E6F4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spacing w:line="240" w:lineRule="atLeast"/>
              <w:rPr>
                <w:rFonts w:hint="eastAsia"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10.1关键的干预措施 （如，药物、手术、预防、自我护理）</w:t>
            </w:r>
          </w:p>
          <w:p>
            <w:pPr>
              <w:spacing w:line="240" w:lineRule="atLeast"/>
              <w:rPr>
                <w:rFonts w:hint="eastAsia"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 xml:space="preserve">  –干预的管理（如，剂量、强度、持续时间）</w:t>
            </w:r>
          </w:p>
          <w:p>
            <w:pPr>
              <w:spacing w:line="240" w:lineRule="atLeast"/>
              <w:rPr>
                <w:rFonts w:hint="eastAsia"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 xml:space="preserve">  –干预的变化（有理由）</w:t>
            </w:r>
          </w:p>
          <w:p>
            <w:pPr>
              <w:spacing w:line="240" w:lineRule="atLeast"/>
              <w:ind w:firstLine="180" w:firstLineChars="100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–干预的依据（根据临床经验的对症治疗还是相关指南）</w:t>
            </w:r>
          </w:p>
        </w:tc>
        <w:tc>
          <w:tcPr>
            <w:tcW w:w="526" w:type="pct"/>
            <w:tcBorders>
              <w:right w:val="nil"/>
            </w:tcBorders>
            <w:shd w:val="clear" w:color="auto" w:fill="D6E6F4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widowControl/>
              <w:spacing w:line="240" w:lineRule="atLeas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sym w:font="Wingdings 2" w:char="00A3"/>
            </w:r>
          </w:p>
          <w:p>
            <w:pPr>
              <w:spacing w:line="240" w:lineRule="atLeast"/>
              <w:ind w:firstLine="180" w:firstLineChars="100"/>
              <w:rPr>
                <w:rFonts w:hint="eastAsia" w:ascii="Times New Roman" w:hAnsi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5B9BD5" w:sz="8" w:space="0"/>
            <w:left w:val="none" w:color="auto" w:sz="0" w:space="0"/>
            <w:bottom w:val="single" w:color="5B9BD5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80" w:type="pct"/>
            <w:noWrap w:val="0"/>
            <w:vAlign w:val="top"/>
          </w:tcPr>
          <w:p>
            <w:pPr>
              <w:widowControl/>
              <w:jc w:val="left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</w:t>
            </w:r>
            <w:r>
              <w:rPr>
                <w:rFonts w:hint="eastAsia" w:ascii="Times New Roman" w:hAnsi="Times New Roman"/>
                <w:kern w:val="0"/>
                <w:szCs w:val="21"/>
              </w:rPr>
              <w:t>1</w:t>
            </w:r>
          </w:p>
        </w:tc>
        <w:tc>
          <w:tcPr>
            <w:tcW w:w="524" w:type="pct"/>
            <w:noWrap w:val="0"/>
            <w:vAlign w:val="top"/>
          </w:tcPr>
          <w:p>
            <w:pPr>
              <w:widowControl/>
              <w:jc w:val="lef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0"/>
                <w:szCs w:val="20"/>
              </w:rPr>
              <w:t>随访和转归</w:t>
            </w:r>
          </w:p>
        </w:tc>
        <w:tc>
          <w:tcPr>
            <w:tcW w:w="3668" w:type="pct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spacing w:line="240" w:lineRule="atLeast"/>
              <w:rPr>
                <w:rFonts w:hint="eastAsia"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11.1总结所有随访的临床过程，包括</w:t>
            </w:r>
          </w:p>
          <w:p>
            <w:pPr>
              <w:spacing w:line="240" w:lineRule="atLeast"/>
              <w:rPr>
                <w:rFonts w:hint="eastAsia"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 xml:space="preserve">  – 临床医生和患者评估的结果</w:t>
            </w:r>
          </w:p>
          <w:p>
            <w:pPr>
              <w:spacing w:line="240" w:lineRule="atLeast"/>
              <w:ind w:firstLine="180" w:firstLineChars="100"/>
              <w:rPr>
                <w:rFonts w:hint="eastAsia"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– 重要的后续检测结果（阳性或阴性）</w:t>
            </w:r>
          </w:p>
          <w:p>
            <w:pPr>
              <w:spacing w:line="240" w:lineRule="atLeast"/>
              <w:rPr>
                <w:rFonts w:hint="eastAsia"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 xml:space="preserve">  – 干预依从性和耐受性（以及如何评估）</w:t>
            </w:r>
          </w:p>
          <w:p>
            <w:pPr>
              <w:spacing w:line="240" w:lineRule="atLeast"/>
              <w:rPr>
                <w:rFonts w:hint="eastAsia"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 xml:space="preserve">  – 不利和意外事件</w:t>
            </w:r>
          </w:p>
          <w:p>
            <w:pPr>
              <w:spacing w:line="240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 xml:space="preserve">11.2预后（痊愈、好转、无效、恶化、死亡） </w:t>
            </w:r>
          </w:p>
          <w:p>
            <w:pPr>
              <w:spacing w:line="240" w:lineRule="atLeast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11.3随访的时长和随访的方式[何时，何地，何方式（电话</w:t>
            </w:r>
            <w:r>
              <w:rPr>
                <w:rFonts w:hint="eastAsia" w:ascii="Times New Roman" w:hAnsi="Times New Roman"/>
                <w:sz w:val="18"/>
                <w:szCs w:val="18"/>
                <w:lang w:eastAsia="zh-CN"/>
              </w:rPr>
              <w:t>、</w:t>
            </w:r>
            <w:r>
              <w:rPr>
                <w:rFonts w:hint="eastAsia" w:ascii="Times New Roman" w:hAnsi="Times New Roman"/>
                <w:sz w:val="18"/>
                <w:szCs w:val="18"/>
              </w:rPr>
              <w:t>网络</w:t>
            </w:r>
            <w:r>
              <w:rPr>
                <w:rFonts w:hint="eastAsia" w:ascii="Times New Roman" w:hAnsi="Times New Roman"/>
                <w:sz w:val="18"/>
                <w:szCs w:val="18"/>
                <w:lang w:eastAsia="zh-CN"/>
              </w:rPr>
              <w:t>、</w:t>
            </w:r>
            <w:r>
              <w:rPr>
                <w:rFonts w:hint="eastAsia" w:ascii="Times New Roman" w:hAnsi="Times New Roman"/>
                <w:sz w:val="18"/>
                <w:szCs w:val="18"/>
              </w:rPr>
              <w:t xml:space="preserve">面诊）] </w:t>
            </w:r>
          </w:p>
        </w:tc>
        <w:tc>
          <w:tcPr>
            <w:tcW w:w="526" w:type="pct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widowControl/>
              <w:spacing w:line="240" w:lineRule="atLeas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sym w:font="Wingdings 2" w:char="00A3"/>
            </w:r>
          </w:p>
          <w:p>
            <w:pPr>
              <w:spacing w:line="240" w:lineRule="atLeast"/>
              <w:rPr>
                <w:rFonts w:hint="eastAsia" w:ascii="Times New Roman" w:hAnsi="Times New Roman"/>
                <w:sz w:val="18"/>
                <w:szCs w:val="18"/>
              </w:rPr>
            </w:pPr>
          </w:p>
          <w:p>
            <w:pPr>
              <w:spacing w:line="240" w:lineRule="atLeast"/>
              <w:rPr>
                <w:rFonts w:hint="eastAsia" w:ascii="Times New Roman" w:hAnsi="Times New Roman"/>
                <w:sz w:val="18"/>
                <w:szCs w:val="18"/>
              </w:rPr>
            </w:pPr>
          </w:p>
          <w:p>
            <w:pPr>
              <w:spacing w:line="240" w:lineRule="atLeast"/>
              <w:rPr>
                <w:rFonts w:hint="eastAsia" w:ascii="Times New Roman" w:hAnsi="Times New Roman"/>
                <w:sz w:val="18"/>
                <w:szCs w:val="18"/>
              </w:rPr>
            </w:pPr>
          </w:p>
          <w:p>
            <w:pPr>
              <w:spacing w:line="240" w:lineRule="atLeast"/>
              <w:rPr>
                <w:rFonts w:hint="eastAsia" w:ascii="Times New Roman" w:hAnsi="Times New Roman"/>
                <w:sz w:val="18"/>
                <w:szCs w:val="18"/>
              </w:rPr>
            </w:pPr>
          </w:p>
          <w:p>
            <w:pPr>
              <w:widowControl/>
              <w:spacing w:line="240" w:lineRule="atLeas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sym w:font="Wingdings 2" w:char="00A3"/>
            </w:r>
          </w:p>
          <w:p>
            <w:pPr>
              <w:widowControl/>
              <w:spacing w:line="240" w:lineRule="atLeast"/>
              <w:jc w:val="center"/>
              <w:rPr>
                <w:rFonts w:hint="eastAsia" w:ascii="Times New Roman" w:hAnsi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sym w:font="Wingdings 2" w:char="00A3"/>
            </w:r>
          </w:p>
        </w:tc>
      </w:tr>
      <w:tr>
        <w:tblPrEx>
          <w:tblBorders>
            <w:top w:val="single" w:color="5B9BD5" w:sz="8" w:space="0"/>
            <w:left w:val="none" w:color="auto" w:sz="0" w:space="0"/>
            <w:bottom w:val="single" w:color="5B9BD5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80" w:type="pct"/>
            <w:tcBorders>
              <w:left w:val="nil"/>
              <w:right w:val="nil"/>
            </w:tcBorders>
            <w:shd w:val="clear" w:color="auto" w:fill="D6E6F4"/>
            <w:noWrap w:val="0"/>
            <w:vAlign w:val="top"/>
          </w:tcPr>
          <w:p>
            <w:pPr>
              <w:widowControl/>
              <w:jc w:val="left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</w:t>
            </w:r>
            <w:r>
              <w:rPr>
                <w:rFonts w:hint="eastAsia" w:ascii="Times New Roman" w:hAnsi="Times New Roman"/>
                <w:kern w:val="0"/>
                <w:szCs w:val="21"/>
              </w:rPr>
              <w:t>2</w:t>
            </w:r>
          </w:p>
        </w:tc>
        <w:tc>
          <w:tcPr>
            <w:tcW w:w="524" w:type="pct"/>
            <w:tcBorders>
              <w:left w:val="nil"/>
              <w:right w:val="nil"/>
            </w:tcBorders>
            <w:shd w:val="clear" w:color="auto" w:fill="D6E6F4"/>
            <w:noWrap w:val="0"/>
            <w:vAlign w:val="top"/>
          </w:tcPr>
          <w:p>
            <w:pPr>
              <w:widowControl/>
              <w:jc w:val="lef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0"/>
                <w:szCs w:val="20"/>
              </w:rPr>
              <w:t>讨论</w:t>
            </w:r>
          </w:p>
        </w:tc>
        <w:tc>
          <w:tcPr>
            <w:tcW w:w="3668" w:type="pct"/>
            <w:tcBorders>
              <w:right w:val="nil"/>
            </w:tcBorders>
            <w:shd w:val="clear" w:color="auto" w:fill="D6E6F4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spacing w:line="240" w:lineRule="atLeast"/>
              <w:rPr>
                <w:rFonts w:hint="eastAsia"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12.1病例诊治的优势和局限性</w:t>
            </w:r>
          </w:p>
          <w:p>
            <w:pPr>
              <w:spacing w:line="240" w:lineRule="atLeast"/>
              <w:rPr>
                <w:rFonts w:hint="eastAsia"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12.2相关医学文献</w:t>
            </w:r>
          </w:p>
          <w:p>
            <w:pPr>
              <w:spacing w:line="240" w:lineRule="atLeast"/>
              <w:rPr>
                <w:rFonts w:hint="eastAsia"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12.3得出结论的理由（包括因果评估、确诊依据、鉴别诊断）</w:t>
            </w:r>
          </w:p>
          <w:p>
            <w:pPr>
              <w:spacing w:line="240" w:lineRule="atLeast"/>
              <w:rPr>
                <w:rFonts w:hint="eastAsia"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 xml:space="preserve">12.4 已经/正在进行的药物临床试验研究 </w:t>
            </w:r>
          </w:p>
          <w:p>
            <w:pPr>
              <w:spacing w:line="240" w:lineRule="atLeast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12.5病例报告的主要吸取到的教训</w:t>
            </w:r>
          </w:p>
        </w:tc>
        <w:tc>
          <w:tcPr>
            <w:tcW w:w="526" w:type="pct"/>
            <w:tcBorders>
              <w:right w:val="nil"/>
            </w:tcBorders>
            <w:shd w:val="clear" w:color="auto" w:fill="D6E6F4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widowControl/>
              <w:spacing w:line="240" w:lineRule="atLeas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sym w:font="Wingdings 2" w:char="00A3"/>
            </w:r>
          </w:p>
          <w:p>
            <w:pPr>
              <w:widowControl/>
              <w:spacing w:line="240" w:lineRule="atLeas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sym w:font="Wingdings 2" w:char="00A3"/>
            </w:r>
          </w:p>
          <w:p>
            <w:pPr>
              <w:widowControl/>
              <w:spacing w:line="240" w:lineRule="atLeas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sym w:font="Wingdings 2" w:char="00A3"/>
            </w:r>
          </w:p>
          <w:p>
            <w:pPr>
              <w:widowControl/>
              <w:spacing w:line="240" w:lineRule="atLeas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sym w:font="Wingdings 2" w:char="00A3"/>
            </w:r>
          </w:p>
          <w:p>
            <w:pPr>
              <w:widowControl/>
              <w:spacing w:line="240" w:lineRule="atLeast"/>
              <w:jc w:val="center"/>
              <w:rPr>
                <w:rFonts w:hint="eastAsia" w:ascii="Times New Roman" w:hAnsi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sym w:font="Wingdings 2" w:char="00A3"/>
            </w:r>
          </w:p>
        </w:tc>
      </w:tr>
      <w:tr>
        <w:tblPrEx>
          <w:tblBorders>
            <w:top w:val="single" w:color="5B9BD5" w:sz="8" w:space="0"/>
            <w:left w:val="none" w:color="auto" w:sz="0" w:space="0"/>
            <w:bottom w:val="single" w:color="5B9BD5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80" w:type="pct"/>
            <w:tcBorders>
              <w:left w:val="nil"/>
              <w:right w:val="nil"/>
            </w:tcBorders>
            <w:shd w:val="clear" w:color="auto" w:fill="D6E6F4"/>
            <w:noWrap w:val="0"/>
            <w:vAlign w:val="top"/>
          </w:tcPr>
          <w:p>
            <w:pPr>
              <w:widowControl/>
              <w:jc w:val="left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/>
                <w:kern w:val="0"/>
                <w:szCs w:val="21"/>
              </w:rPr>
              <w:t>13</w:t>
            </w:r>
          </w:p>
        </w:tc>
        <w:tc>
          <w:tcPr>
            <w:tcW w:w="524" w:type="pct"/>
            <w:tcBorders>
              <w:left w:val="nil"/>
              <w:right w:val="nil"/>
            </w:tcBorders>
            <w:shd w:val="clear" w:color="auto" w:fill="D6E6F4"/>
            <w:noWrap w:val="0"/>
            <w:vAlign w:val="top"/>
          </w:tcPr>
          <w:p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/>
                <w:b/>
                <w:bCs/>
                <w:kern w:val="0"/>
                <w:sz w:val="20"/>
                <w:szCs w:val="20"/>
              </w:rPr>
              <w:t>结论</w:t>
            </w:r>
          </w:p>
        </w:tc>
        <w:tc>
          <w:tcPr>
            <w:tcW w:w="3668" w:type="pct"/>
            <w:tcBorders>
              <w:right w:val="nil"/>
            </w:tcBorders>
            <w:shd w:val="clear" w:color="auto" w:fill="D6E6F4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spacing w:line="240" w:lineRule="atLeast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总结报道该病例的价值点在哪</w:t>
            </w:r>
          </w:p>
        </w:tc>
        <w:tc>
          <w:tcPr>
            <w:tcW w:w="526" w:type="pct"/>
            <w:tcBorders>
              <w:right w:val="nil"/>
            </w:tcBorders>
            <w:shd w:val="clear" w:color="auto" w:fill="D6E6F4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widowControl/>
              <w:spacing w:line="240" w:lineRule="atLeast"/>
              <w:jc w:val="center"/>
              <w:rPr>
                <w:rFonts w:hint="eastAsia" w:ascii="Times New Roman" w:hAnsi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sym w:font="Wingdings 2" w:char="00A3"/>
            </w:r>
          </w:p>
        </w:tc>
      </w:tr>
    </w:tbl>
    <w:p/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第一作者：______________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稿件编号：______________</w:t>
      </w:r>
    </w:p>
    <w:p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8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4E03CA6"/>
    <w:rsid w:val="05226AAD"/>
    <w:rsid w:val="0FAD4661"/>
    <w:rsid w:val="16033A99"/>
    <w:rsid w:val="18892CDC"/>
    <w:rsid w:val="19310DA2"/>
    <w:rsid w:val="2FB120F1"/>
    <w:rsid w:val="30C82AA2"/>
    <w:rsid w:val="34E03CA6"/>
    <w:rsid w:val="38D809B7"/>
    <w:rsid w:val="43202EB0"/>
    <w:rsid w:val="472B05B1"/>
    <w:rsid w:val="4A0D3E13"/>
    <w:rsid w:val="559F0EF5"/>
    <w:rsid w:val="6B814F08"/>
    <w:rsid w:val="747003B4"/>
    <w:rsid w:val="74DD5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4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240" w:lineRule="auto"/>
      <w:outlineLvl w:val="3"/>
    </w:pPr>
    <w:rPr>
      <w:rFonts w:ascii="Arial" w:hAnsi="Arial" w:eastAsia="黑体"/>
      <w:b/>
      <w:sz w:val="28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2022-02-09T02:40:00Z</dcterms:created>
  <dc:creator>zooqi</dc:creator>
  <cp:lastModifiedBy>zooqi</cp:lastModifiedBy>
  <dcterms:modified xsi:type="dcterms:W3CDTF">2022-02-25T01:42:54Z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3497DC14AEC64999BE4F519B3F6545E0</vt:lpwstr>
  </property>
</Properties>
</file>