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E9145C">
      <w:pPr>
        <w:spacing w:line="400" w:lineRule="exact"/>
        <w:jc w:val="center"/>
        <w:rPr>
          <w:rFonts w:eastAsia="黑体"/>
          <w:i/>
          <w:iCs/>
          <w:sz w:val="32"/>
          <w:szCs w:val="24"/>
        </w:rPr>
      </w:pPr>
      <w:r>
        <w:rPr>
          <w:rFonts w:hint="eastAsia" w:eastAsia="黑体"/>
          <w:i/>
          <w:iCs/>
          <w:sz w:val="32"/>
          <w:szCs w:val="24"/>
        </w:rPr>
        <w:t>Journal of Clinical Pediatrics</w:t>
      </w:r>
    </w:p>
    <w:p w14:paraId="1FE91863">
      <w:pPr>
        <w:spacing w:line="400" w:lineRule="exact"/>
        <w:jc w:val="center"/>
        <w:rPr>
          <w:szCs w:val="24"/>
        </w:rPr>
      </w:pPr>
      <w:r>
        <w:rPr>
          <w:rFonts w:hint="eastAsia" w:eastAsia="黑体"/>
          <w:sz w:val="32"/>
          <w:szCs w:val="24"/>
        </w:rPr>
        <w:t>Copyright Transfer Agreement</w:t>
      </w:r>
    </w:p>
    <w:p w14:paraId="69C3908D">
      <w:pPr>
        <w:spacing w:line="360" w:lineRule="auto"/>
        <w:rPr>
          <w:rFonts w:eastAsia="Times New Roman"/>
          <w:sz w:val="24"/>
          <w:szCs w:val="24"/>
        </w:rPr>
      </w:pPr>
      <w:r>
        <w:rPr>
          <w:rFonts w:hint="eastAsia"/>
          <w:sz w:val="24"/>
          <w:szCs w:val="24"/>
        </w:rPr>
        <w:t>Article Title</w:t>
      </w:r>
      <w:r>
        <w:rPr>
          <w:rFonts w:eastAsia="Times New Roman"/>
          <w:sz w:val="24"/>
          <w:szCs w:val="24"/>
        </w:rPr>
        <w:t>_________________________________________________________</w:t>
      </w:r>
    </w:p>
    <w:p w14:paraId="214DBE19">
      <w:pPr>
        <w:spacing w:line="360" w:lineRule="auto"/>
        <w:rPr>
          <w:rFonts w:eastAsia="Times New Roman"/>
          <w:sz w:val="24"/>
          <w:szCs w:val="24"/>
        </w:rPr>
      </w:pPr>
      <w:r>
        <w:rPr>
          <w:rFonts w:hint="eastAsia"/>
          <w:sz w:val="24"/>
          <w:szCs w:val="24"/>
        </w:rPr>
        <w:t>Manuscript No.</w:t>
      </w:r>
      <w:r>
        <w:rPr>
          <w:rFonts w:eastAsia="Times New Roman"/>
          <w:sz w:val="24"/>
          <w:szCs w:val="24"/>
        </w:rPr>
        <w:t>______________</w:t>
      </w:r>
    </w:p>
    <w:p w14:paraId="28EA544C">
      <w:pPr>
        <w:spacing w:line="360" w:lineRule="auto"/>
        <w:ind w:left="141" w:leftChars="67" w:firstLine="480" w:firstLineChars="200"/>
        <w:rPr>
          <w:sz w:val="24"/>
          <w:szCs w:val="24"/>
        </w:rPr>
      </w:pPr>
      <w:r>
        <w:rPr>
          <w:sz w:val="24"/>
          <w:szCs w:val="24"/>
        </w:rPr>
        <w:t xml:space="preserve">All authors agree to publish this article in </w:t>
      </w:r>
      <w:r>
        <w:rPr>
          <w:i/>
          <w:iCs/>
          <w:sz w:val="24"/>
          <w:szCs w:val="24"/>
        </w:rPr>
        <w:t>Journal of Clinical Pediatrics</w:t>
      </w:r>
      <w:r>
        <w:rPr>
          <w:sz w:val="24"/>
          <w:szCs w:val="24"/>
        </w:rPr>
        <w:t xml:space="preserve"> and agree to transfer</w:t>
      </w:r>
      <w:r>
        <w:rPr>
          <w:rFonts w:hint="eastAsia"/>
          <w:sz w:val="24"/>
          <w:szCs w:val="24"/>
          <w:lang w:val="en-US" w:eastAsia="zh-CN"/>
        </w:rPr>
        <w:t xml:space="preserve"> </w:t>
      </w:r>
      <w:r>
        <w:rPr>
          <w:sz w:val="24"/>
          <w:szCs w:val="24"/>
        </w:rPr>
        <w:t xml:space="preserve">the copyright of the entire paper and its related attachments to the </w:t>
      </w:r>
      <w:r>
        <w:rPr>
          <w:rFonts w:hint="eastAsia"/>
          <w:sz w:val="24"/>
          <w:szCs w:val="24"/>
        </w:rPr>
        <w:t>E</w:t>
      </w:r>
      <w:r>
        <w:rPr>
          <w:sz w:val="24"/>
          <w:szCs w:val="24"/>
        </w:rPr>
        <w:t xml:space="preserve">ditorial </w:t>
      </w:r>
      <w:r>
        <w:rPr>
          <w:rFonts w:hint="eastAsia"/>
          <w:sz w:val="24"/>
          <w:szCs w:val="24"/>
        </w:rPr>
        <w:t>Office</w:t>
      </w:r>
      <w:r>
        <w:rPr>
          <w:sz w:val="24"/>
          <w:szCs w:val="24"/>
        </w:rPr>
        <w:t xml:space="preserve"> of </w:t>
      </w:r>
      <w:r>
        <w:rPr>
          <w:i/>
          <w:iCs/>
          <w:sz w:val="24"/>
          <w:szCs w:val="24"/>
        </w:rPr>
        <w:t>Journal of Clinical Pediatrics</w:t>
      </w:r>
      <w:r>
        <w:rPr>
          <w:sz w:val="24"/>
          <w:szCs w:val="24"/>
        </w:rPr>
        <w:t>.</w:t>
      </w:r>
      <w:r>
        <w:rPr>
          <w:rFonts w:hint="eastAsia"/>
          <w:sz w:val="24"/>
          <w:szCs w:val="24"/>
          <w:lang w:val="en-US" w:eastAsia="zh-CN"/>
        </w:rPr>
        <w:t xml:space="preserve"> </w:t>
      </w:r>
      <w:bookmarkStart w:id="0" w:name="_GoBack"/>
      <w:bookmarkEnd w:id="0"/>
      <w:r>
        <w:rPr>
          <w:sz w:val="24"/>
          <w:szCs w:val="24"/>
        </w:rPr>
        <w:t>The term of the transfer is the same as the term of copyright protection. The editorial o</w:t>
      </w:r>
      <w:r>
        <w:rPr>
          <w:rFonts w:hint="eastAsia"/>
          <w:sz w:val="24"/>
          <w:szCs w:val="24"/>
        </w:rPr>
        <w:t>ffice</w:t>
      </w:r>
      <w:r>
        <w:rPr>
          <w:sz w:val="24"/>
          <w:szCs w:val="24"/>
        </w:rPr>
        <w:t xml:space="preserve"> has the right to license domestic and international literature search systems and networks, database systems for </w:t>
      </w:r>
      <w:r>
        <w:rPr>
          <w:rFonts w:hint="eastAsia"/>
          <w:sz w:val="24"/>
          <w:szCs w:val="24"/>
        </w:rPr>
        <w:t>index</w:t>
      </w:r>
      <w:r>
        <w:rPr>
          <w:sz w:val="24"/>
          <w:szCs w:val="24"/>
        </w:rPr>
        <w:t xml:space="preserve"> and inclusion, and has the right to publish and use this article through various </w:t>
      </w:r>
      <w:r>
        <w:rPr>
          <w:rFonts w:hint="eastAsia"/>
          <w:sz w:val="24"/>
          <w:szCs w:val="24"/>
        </w:rPr>
        <w:t>formats and</w:t>
      </w:r>
      <w:r>
        <w:rPr>
          <w:sz w:val="24"/>
          <w:szCs w:val="24"/>
        </w:rPr>
        <w:t xml:space="preserve"> media, </w:t>
      </w:r>
      <w:r>
        <w:rPr>
          <w:rFonts w:hint="eastAsia"/>
          <w:sz w:val="24"/>
          <w:szCs w:val="24"/>
        </w:rPr>
        <w:t>or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 xml:space="preserve">in </w:t>
      </w:r>
      <w:r>
        <w:rPr>
          <w:sz w:val="24"/>
          <w:szCs w:val="24"/>
        </w:rPr>
        <w:t>other languages.</w:t>
      </w:r>
    </w:p>
    <w:p w14:paraId="19D9AB5B">
      <w:pPr>
        <w:spacing w:line="360" w:lineRule="auto"/>
        <w:ind w:left="141" w:leftChars="67" w:firstLine="480" w:firstLineChars="200"/>
        <w:rPr>
          <w:sz w:val="24"/>
          <w:szCs w:val="24"/>
        </w:rPr>
      </w:pPr>
      <w:r>
        <w:rPr>
          <w:sz w:val="24"/>
          <w:szCs w:val="24"/>
        </w:rPr>
        <w:t xml:space="preserve">The authors promise that the article has not been submitted to </w:t>
      </w:r>
      <w:r>
        <w:rPr>
          <w:rFonts w:hint="eastAsia"/>
          <w:sz w:val="24"/>
          <w:szCs w:val="24"/>
        </w:rPr>
        <w:t>other</w:t>
      </w:r>
      <w:r>
        <w:rPr>
          <w:sz w:val="24"/>
          <w:szCs w:val="24"/>
        </w:rPr>
        <w:t xml:space="preserve"> journals, there are no disputes over authorship, and it does not involve any form of confidential obligations. All authors agree to publish the </w:t>
      </w:r>
      <w:r>
        <w:rPr>
          <w:rFonts w:hint="eastAsia"/>
          <w:sz w:val="24"/>
          <w:szCs w:val="24"/>
        </w:rPr>
        <w:t>article</w:t>
      </w:r>
      <w:r>
        <w:rPr>
          <w:sz w:val="24"/>
          <w:szCs w:val="24"/>
        </w:rPr>
        <w:t xml:space="preserve"> in this journal in an open access format.</w:t>
      </w:r>
      <w:r>
        <w:rPr>
          <w:rFonts w:ascii="Arial" w:hAnsi="Arial" w:cs="Arial"/>
        </w:rPr>
        <w:t xml:space="preserve"> </w:t>
      </w:r>
      <w:r>
        <w:rPr>
          <w:rFonts w:hint="eastAsia"/>
          <w:sz w:val="24"/>
          <w:szCs w:val="24"/>
        </w:rPr>
        <w:t>After publishing, a</w:t>
      </w:r>
      <w:r>
        <w:rPr>
          <w:sz w:val="24"/>
          <w:szCs w:val="24"/>
        </w:rPr>
        <w:t>uthors</w:t>
      </w:r>
      <w:r>
        <w:rPr>
          <w:rFonts w:hint="eastAsia"/>
          <w:sz w:val="24"/>
          <w:szCs w:val="24"/>
        </w:rPr>
        <w:t xml:space="preserve"> and third </w:t>
      </w:r>
      <w:r>
        <w:rPr>
          <w:sz w:val="24"/>
          <w:szCs w:val="24"/>
        </w:rPr>
        <w:t>parties may reproduce, disseminate, and use their articles under the Creative Commons Attribution-NonCommercial-NoDerivatives 4.0 (CC BY-NC-ND 4.0) license</w:t>
      </w:r>
      <w:r>
        <w:rPr>
          <w:rFonts w:hint="eastAsia"/>
          <w:sz w:val="24"/>
          <w:szCs w:val="24"/>
        </w:rPr>
        <w:t xml:space="preserve">. The work cannot be used for commercial purpose. </w:t>
      </w:r>
    </w:p>
    <w:p w14:paraId="76165651">
      <w:pPr>
        <w:spacing w:line="360" w:lineRule="auto"/>
        <w:ind w:firstLine="480"/>
        <w:rPr>
          <w:sz w:val="24"/>
          <w:szCs w:val="24"/>
        </w:rPr>
      </w:pPr>
      <w:r>
        <w:rPr>
          <w:sz w:val="24"/>
          <w:szCs w:val="24"/>
        </w:rPr>
        <w:t xml:space="preserve">Please fill in the </w:t>
      </w:r>
      <w:r>
        <w:rPr>
          <w:rFonts w:hint="eastAsia"/>
          <w:sz w:val="24"/>
          <w:szCs w:val="24"/>
        </w:rPr>
        <w:t>article</w:t>
      </w:r>
      <w:r>
        <w:rPr>
          <w:sz w:val="24"/>
          <w:szCs w:val="24"/>
        </w:rPr>
        <w:t xml:space="preserve"> title, manuscript number, and the authors' signatures, </w:t>
      </w:r>
      <w:r>
        <w:rPr>
          <w:rFonts w:hint="eastAsia"/>
          <w:sz w:val="24"/>
          <w:szCs w:val="24"/>
        </w:rPr>
        <w:t>chop</w:t>
      </w:r>
      <w:r>
        <w:rPr>
          <w:sz w:val="24"/>
          <w:szCs w:val="24"/>
        </w:rPr>
        <w:t xml:space="preserve"> the official seal of </w:t>
      </w:r>
      <w:r>
        <w:rPr>
          <w:rFonts w:hint="eastAsia"/>
          <w:sz w:val="24"/>
          <w:szCs w:val="24"/>
        </w:rPr>
        <w:t>your institute</w:t>
      </w:r>
      <w:r>
        <w:rPr>
          <w:sz w:val="24"/>
          <w:szCs w:val="24"/>
        </w:rPr>
        <w:t xml:space="preserve"> on th</w:t>
      </w:r>
      <w:r>
        <w:rPr>
          <w:rFonts w:hint="eastAsia"/>
          <w:sz w:val="24"/>
          <w:szCs w:val="24"/>
        </w:rPr>
        <w:t>is Agreement</w:t>
      </w:r>
      <w:r>
        <w:rPr>
          <w:sz w:val="24"/>
          <w:szCs w:val="24"/>
        </w:rPr>
        <w:t xml:space="preserve">, </w:t>
      </w:r>
      <w:r>
        <w:rPr>
          <w:rFonts w:hint="eastAsia"/>
          <w:sz w:val="24"/>
          <w:szCs w:val="24"/>
        </w:rPr>
        <w:t xml:space="preserve">and </w:t>
      </w:r>
      <w:r>
        <w:rPr>
          <w:sz w:val="24"/>
          <w:szCs w:val="24"/>
        </w:rPr>
        <w:t xml:space="preserve">return it to the editorial </w:t>
      </w:r>
      <w:r>
        <w:rPr>
          <w:rFonts w:hint="eastAsia"/>
          <w:sz w:val="24"/>
          <w:szCs w:val="24"/>
        </w:rPr>
        <w:t>office</w:t>
      </w:r>
      <w:r>
        <w:rPr>
          <w:sz w:val="24"/>
          <w:szCs w:val="24"/>
        </w:rPr>
        <w:t xml:space="preserve">. </w:t>
      </w:r>
    </w:p>
    <w:p w14:paraId="76929F20">
      <w:pPr>
        <w:spacing w:line="360" w:lineRule="auto"/>
        <w:rPr>
          <w:sz w:val="24"/>
          <w:szCs w:val="24"/>
        </w:rPr>
      </w:pPr>
    </w:p>
    <w:p w14:paraId="39716718">
      <w:pPr>
        <w:spacing w:line="360" w:lineRule="auto"/>
        <w:rPr>
          <w:rFonts w:eastAsia="Times New Roman"/>
          <w:sz w:val="24"/>
          <w:szCs w:val="24"/>
        </w:rPr>
      </w:pPr>
      <w:r>
        <w:rPr>
          <w:sz w:val="24"/>
          <w:szCs w:val="24"/>
        </w:rPr>
        <w:t>Au</w:t>
      </w:r>
      <w:r>
        <w:rPr>
          <w:rFonts w:hint="eastAsia"/>
          <w:sz w:val="24"/>
          <w:szCs w:val="24"/>
        </w:rPr>
        <w:t>th</w:t>
      </w:r>
      <w:r>
        <w:rPr>
          <w:sz w:val="24"/>
          <w:szCs w:val="24"/>
        </w:rPr>
        <w:t>or</w:t>
      </w:r>
      <w:r>
        <w:rPr>
          <w:rFonts w:hint="eastAsia"/>
          <w:sz w:val="24"/>
          <w:szCs w:val="24"/>
        </w:rPr>
        <w:t>s</w:t>
      </w:r>
      <w:r>
        <w:rPr>
          <w:sz w:val="24"/>
          <w:szCs w:val="24"/>
        </w:rPr>
        <w:t>’</w:t>
      </w:r>
      <w:r>
        <w:rPr>
          <w:rFonts w:hint="eastAsia"/>
          <w:sz w:val="24"/>
          <w:szCs w:val="24"/>
        </w:rPr>
        <w:t xml:space="preserve"> signatures by hand (in order of the authorship, with date)</w:t>
      </w:r>
    </w:p>
    <w:tbl>
      <w:tblPr>
        <w:tblStyle w:val="2"/>
        <w:tblpPr w:leftFromText="180" w:rightFromText="180" w:vertAnchor="text" w:horzAnchor="page" w:tblpX="1895" w:tblpY="64"/>
        <w:tblOverlap w:val="never"/>
        <w:tblW w:w="0" w:type="auto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4261"/>
        <w:gridCol w:w="4261"/>
      </w:tblGrid>
      <w:tr w14:paraId="36C6AC3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5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234879B1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7F72C2ED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2</w:t>
            </w:r>
          </w:p>
        </w:tc>
      </w:tr>
      <w:tr w14:paraId="60B94E0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68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437B3B13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517F113E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14:paraId="76B6421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6F3DCB82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5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5D9C255A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6</w:t>
            </w:r>
          </w:p>
        </w:tc>
      </w:tr>
      <w:tr w14:paraId="6F23B44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0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54A40667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7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6034DFE5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8</w:t>
            </w:r>
          </w:p>
        </w:tc>
      </w:tr>
      <w:tr w14:paraId="788ECFA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10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58C2436F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9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5BFEDE63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10</w:t>
            </w:r>
          </w:p>
        </w:tc>
      </w:tr>
      <w:tr w14:paraId="4EB51A0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1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74EE5700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66A7D404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12</w:t>
            </w:r>
          </w:p>
        </w:tc>
      </w:tr>
      <w:tr w14:paraId="0F88CB8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1" w:hRule="atLeast"/>
        </w:trPr>
        <w:tc>
          <w:tcPr>
            <w:tcW w:w="852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11B5DF7C">
            <w:pPr>
              <w:spacing w:line="360" w:lineRule="auto"/>
              <w:rPr>
                <w:sz w:val="24"/>
                <w:szCs w:val="24"/>
                <w:lang w:val="zh-CN"/>
              </w:rPr>
            </w:pPr>
            <w:r>
              <w:rPr>
                <w:rFonts w:hint="eastAsia"/>
                <w:sz w:val="24"/>
                <w:szCs w:val="24"/>
                <w:lang w:val="zh-CN"/>
              </w:rPr>
              <w:t>Official seal:</w:t>
            </w:r>
          </w:p>
          <w:p w14:paraId="197AAE62">
            <w:pPr>
              <w:spacing w:line="360" w:lineRule="auto"/>
              <w:rPr>
                <w:sz w:val="24"/>
                <w:szCs w:val="24"/>
                <w:lang w:val="zh-CN"/>
              </w:rPr>
            </w:pPr>
          </w:p>
          <w:p w14:paraId="271FD5BD">
            <w:pPr>
              <w:spacing w:line="360" w:lineRule="auto"/>
              <w:rPr>
                <w:sz w:val="24"/>
                <w:szCs w:val="24"/>
                <w:lang w:val="zh-CN"/>
              </w:rPr>
            </w:pPr>
          </w:p>
          <w:p w14:paraId="052367BE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>
              <w:rPr>
                <w:rFonts w:hint="eastAsia"/>
                <w:sz w:val="24"/>
                <w:szCs w:val="24"/>
              </w:rPr>
              <w:t>Date</w:t>
            </w:r>
          </w:p>
        </w:tc>
      </w:tr>
    </w:tbl>
    <w:p w14:paraId="3C78EF3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AE4"/>
    <w:rsid w:val="00056E3D"/>
    <w:rsid w:val="005A1F53"/>
    <w:rsid w:val="005B3030"/>
    <w:rsid w:val="005E74D2"/>
    <w:rsid w:val="008B23AB"/>
    <w:rsid w:val="008D523A"/>
    <w:rsid w:val="00917C2C"/>
    <w:rsid w:val="00931712"/>
    <w:rsid w:val="00A97AE4"/>
    <w:rsid w:val="00B85291"/>
    <w:rsid w:val="00BB418B"/>
    <w:rsid w:val="00C15044"/>
    <w:rsid w:val="00D35A96"/>
    <w:rsid w:val="00D517F7"/>
    <w:rsid w:val="00F63C18"/>
    <w:rsid w:val="00F964F6"/>
    <w:rsid w:val="24700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Revision"/>
    <w:hidden/>
    <w:semiHidden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8735A2-1C4C-4781-A366-6DC8358F27A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244</Words>
  <Characters>1348</Characters>
  <Lines>11</Lines>
  <Paragraphs>3</Paragraphs>
  <TotalTime>0</TotalTime>
  <ScaleCrop>false</ScaleCrop>
  <LinksUpToDate>false</LinksUpToDate>
  <CharactersWithSpaces>1588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2024-12-27T09:18:00Z</dcterms:created>
  <dc:creator>Pei Li</dc:creator>
  <cp:lastModifiedBy>W17</cp:lastModifiedBy>
  <dcterms:modified xsi:type="dcterms:W3CDTF">2026-04-08T03:52:59Z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eyJoZGlkIjoiMDZiNGNjYjMxMjgyMzk4NjAzY2Q1Y2Q1ZjRiMjFmMWIiLCJ1c2VySWQiOiI3NjI3NTc4MTgifQ==</vt:lpwstr>
  </property>
  <property fmtid="{D5CDD505-2E9C-101B-9397-08002B2CF9AE}" pid="3" name="KSOProductBuildVer">
    <vt:lpwstr>2052-12.1.0.25225</vt:lpwstr>
  </property>
  <property fmtid="{D5CDD505-2E9C-101B-9397-08002B2CF9AE}" pid="4" name="ICV">
    <vt:lpwstr>36620F6AFF024AEA84C38B2FB9B9BE66_12</vt:lpwstr>
  </property>
</Properties>
</file>